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6EA7" w:rsidRDefault="001F62D4"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2E19F8">
        <w:rPr>
          <w:noProof/>
          <w:sz w:val="24"/>
          <w:lang w:eastAsia="en-GB"/>
        </w:rPr>
        <w:drawing>
          <wp:anchor distT="0" distB="0" distL="114300" distR="114300" simplePos="0" relativeHeight="251659264" behindDoc="0" locked="0" layoutInCell="1" allowOverlap="1" wp14:anchorId="590274B2" wp14:editId="4E43A615">
            <wp:simplePos x="0" y="0"/>
            <wp:positionH relativeFrom="margin">
              <wp:align>right</wp:align>
            </wp:positionH>
            <wp:positionV relativeFrom="paragraph">
              <wp:posOffset>8728</wp:posOffset>
            </wp:positionV>
            <wp:extent cx="365760" cy="38417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65760" cy="384175"/>
                    </a:xfrm>
                    <a:prstGeom prst="rect">
                      <a:avLst/>
                    </a:prstGeom>
                    <a:noFill/>
                  </pic:spPr>
                </pic:pic>
              </a:graphicData>
            </a:graphic>
            <wp14:sizeRelH relativeFrom="page">
              <wp14:pctWidth>0</wp14:pctWidth>
            </wp14:sizeRelH>
            <wp14:sizeRelV relativeFrom="page">
              <wp14:pctHeight>0</wp14:pctHeight>
            </wp14:sizeRelV>
          </wp:anchor>
        </w:drawing>
      </w:r>
      <w:r w:rsidR="00C16EA7">
        <w:rPr>
          <w:rFonts w:eastAsia="Times New Roman" w:cs="Arial"/>
          <w:b/>
          <w:sz w:val="22"/>
          <w:lang w:val="en" w:eastAsia="en-GB"/>
          <w14:ligatures w14:val="none"/>
          <w14:cntxtAlts w14:val="0"/>
        </w:rPr>
        <w:t>The Bellbird Primary School – Data 2016/17</w:t>
      </w:r>
    </w:p>
    <w:p w:rsidR="00D52249" w:rsidRPr="001C68B1" w:rsidRDefault="00D52249"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1C68B1">
        <w:rPr>
          <w:rFonts w:eastAsia="Times New Roman" w:cs="Arial"/>
          <w:b/>
          <w:sz w:val="22"/>
          <w:lang w:val="en" w:eastAsia="en-GB"/>
          <w14:ligatures w14:val="none"/>
          <w14:cntxtAlts w14:val="0"/>
        </w:rPr>
        <w:t>Early Years Foundation Stage (EYFS)</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Children in Reception should achieve a Good Level of Development (GLD) against the Early Years framework. GLD is defined as children working at, or exceeding, the expecte</w:t>
      </w:r>
      <w:r>
        <w:rPr>
          <w:rFonts w:eastAsia="Times New Roman" w:cs="Arial"/>
          <w:sz w:val="22"/>
          <w:lang w:val="en" w:eastAsia="en-GB"/>
          <w14:ligatures w14:val="none"/>
          <w14:cntxtAlts w14:val="0"/>
        </w:rPr>
        <w:t>d standard in the key areas of English, mathematics</w:t>
      </w:r>
      <w:r w:rsidRPr="00D52249">
        <w:rPr>
          <w:rFonts w:eastAsia="Times New Roman" w:cs="Arial"/>
          <w:sz w:val="22"/>
          <w:lang w:val="en" w:eastAsia="en-GB"/>
          <w14:ligatures w14:val="none"/>
          <w14:cntxtAlts w14:val="0"/>
        </w:rPr>
        <w:t>, physical development, communication &amp; language and personal, social &amp; emotional development.</w:t>
      </w:r>
    </w:p>
    <w:tbl>
      <w:tblPr>
        <w:tblW w:w="0" w:type="auto"/>
        <w:tblCellMar>
          <w:top w:w="15" w:type="dxa"/>
          <w:left w:w="15" w:type="dxa"/>
          <w:bottom w:w="15" w:type="dxa"/>
          <w:right w:w="15" w:type="dxa"/>
        </w:tblCellMar>
        <w:tblLook w:val="04A0" w:firstRow="1" w:lastRow="0" w:firstColumn="1" w:lastColumn="0" w:noHBand="0" w:noVBand="1"/>
      </w:tblPr>
      <w:tblGrid>
        <w:gridCol w:w="2992"/>
        <w:gridCol w:w="3006"/>
        <w:gridCol w:w="3008"/>
      </w:tblGrid>
      <w:tr w:rsidR="00D52249" w:rsidRPr="00D52249" w:rsidTr="001C68B1">
        <w:tc>
          <w:tcPr>
            <w:tcW w:w="308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after="0" w:line="240" w:lineRule="auto"/>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w:t>
            </w:r>
          </w:p>
        </w:tc>
        <w:tc>
          <w:tcPr>
            <w:tcW w:w="308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The Bellbird</w:t>
            </w:r>
            <w:r w:rsidRPr="00D52249">
              <w:rPr>
                <w:rFonts w:eastAsia="Times New Roman" w:cs="Arial"/>
                <w:b/>
                <w:bCs/>
                <w:sz w:val="22"/>
                <w:lang w:eastAsia="en-GB"/>
                <w14:ligatures w14:val="none"/>
                <w14:cntxtAlts w14:val="0"/>
              </w:rPr>
              <w:t xml:space="preserve"> Primary</w:t>
            </w:r>
          </w:p>
        </w:tc>
        <w:tc>
          <w:tcPr>
            <w:tcW w:w="3081"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National</w:t>
            </w:r>
          </w:p>
        </w:tc>
      </w:tr>
      <w:tr w:rsidR="00D52249" w:rsidRPr="00D52249" w:rsidTr="001C68B1">
        <w:tc>
          <w:tcPr>
            <w:tcW w:w="3080"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both"/>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GLD</w:t>
            </w:r>
          </w:p>
        </w:tc>
        <w:tc>
          <w:tcPr>
            <w:tcW w:w="3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73%</w:t>
            </w:r>
          </w:p>
        </w:tc>
        <w:tc>
          <w:tcPr>
            <w:tcW w:w="3081"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71% </w:t>
            </w:r>
          </w:p>
        </w:tc>
      </w:tr>
    </w:tbl>
    <w:p w:rsidR="00D52249" w:rsidRPr="00D52249" w:rsidRDefault="00D52249" w:rsidP="001C68B1">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1C68B1">
        <w:rPr>
          <w:rFonts w:eastAsia="Times New Roman" w:cs="Arial"/>
          <w:b/>
          <w:sz w:val="22"/>
          <w:lang w:val="en" w:eastAsia="en-GB"/>
          <w14:ligatures w14:val="none"/>
          <w14:cntxtAlts w14:val="0"/>
        </w:rPr>
        <w:t>Year One phonics Screening</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 xml:space="preserve">The </w:t>
      </w:r>
      <w:r w:rsidRPr="00D52249">
        <w:rPr>
          <w:rFonts w:eastAsia="Times New Roman" w:cs="Arial"/>
          <w:b/>
          <w:bCs/>
          <w:sz w:val="22"/>
          <w:lang w:val="en" w:eastAsia="en-GB"/>
          <w14:ligatures w14:val="none"/>
          <w14:cntxtAlts w14:val="0"/>
        </w:rPr>
        <w:t>phonics screening</w:t>
      </w:r>
      <w:r w:rsidRPr="00D52249">
        <w:rPr>
          <w:rFonts w:eastAsia="Times New Roman" w:cs="Arial"/>
          <w:sz w:val="22"/>
          <w:lang w:val="en" w:eastAsia="en-GB"/>
          <w14:ligatures w14:val="none"/>
          <w14:cntxtAlts w14:val="0"/>
        </w:rPr>
        <w:t xml:space="preserve"> check is a short, light-touch assessment to confirm whether individual children have learnt </w:t>
      </w:r>
      <w:r w:rsidRPr="00D52249">
        <w:rPr>
          <w:rFonts w:eastAsia="Times New Roman" w:cs="Arial"/>
          <w:b/>
          <w:bCs/>
          <w:sz w:val="22"/>
          <w:lang w:val="en" w:eastAsia="en-GB"/>
          <w14:ligatures w14:val="none"/>
          <w14:cntxtAlts w14:val="0"/>
        </w:rPr>
        <w:t>phonic</w:t>
      </w:r>
      <w:r w:rsidRPr="00D52249">
        <w:rPr>
          <w:rFonts w:eastAsia="Times New Roman" w:cs="Arial"/>
          <w:sz w:val="22"/>
          <w:lang w:val="en" w:eastAsia="en-GB"/>
          <w14:ligatures w14:val="none"/>
          <w14:cntxtAlts w14:val="0"/>
        </w:rPr>
        <w:t xml:space="preserve"> decoding to</w:t>
      </w:r>
      <w:r w:rsidR="008B3286">
        <w:rPr>
          <w:rFonts w:eastAsia="Times New Roman" w:cs="Arial"/>
          <w:sz w:val="22"/>
          <w:lang w:val="en" w:eastAsia="en-GB"/>
          <w14:ligatures w14:val="none"/>
          <w14:cntxtAlts w14:val="0"/>
        </w:rPr>
        <w:t xml:space="preserve"> an appropriate standard. It identifies</w:t>
      </w:r>
      <w:r w:rsidRPr="00D52249">
        <w:rPr>
          <w:rFonts w:eastAsia="Times New Roman" w:cs="Arial"/>
          <w:sz w:val="22"/>
          <w:lang w:val="en" w:eastAsia="en-GB"/>
          <w14:ligatures w14:val="none"/>
          <w14:cntxtAlts w14:val="0"/>
        </w:rPr>
        <w:t xml:space="preserve"> the children who need extra help so they are given support by their school to improve their reading skills. Children are tested in Year 1.</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 xml:space="preserve">If children do not meet the standard in the Y1 phonics check they are retested in Year 2. </w:t>
      </w:r>
    </w:p>
    <w:tbl>
      <w:tblPr>
        <w:tblW w:w="0" w:type="auto"/>
        <w:tblCellMar>
          <w:top w:w="15" w:type="dxa"/>
          <w:left w:w="15" w:type="dxa"/>
          <w:bottom w:w="15" w:type="dxa"/>
          <w:right w:w="15" w:type="dxa"/>
        </w:tblCellMar>
        <w:tblLook w:val="04A0" w:firstRow="1" w:lastRow="0" w:firstColumn="1" w:lastColumn="0" w:noHBand="0" w:noVBand="1"/>
      </w:tblPr>
      <w:tblGrid>
        <w:gridCol w:w="3010"/>
        <w:gridCol w:w="2997"/>
        <w:gridCol w:w="2999"/>
      </w:tblGrid>
      <w:tr w:rsidR="00D52249" w:rsidRPr="00D52249" w:rsidTr="00C16EA7">
        <w:tc>
          <w:tcPr>
            <w:tcW w:w="301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both"/>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w:t>
            </w:r>
          </w:p>
        </w:tc>
        <w:tc>
          <w:tcPr>
            <w:tcW w:w="2997"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The Bellbird</w:t>
            </w:r>
            <w:r w:rsidRPr="00D52249">
              <w:rPr>
                <w:rFonts w:eastAsia="Times New Roman" w:cs="Arial"/>
                <w:b/>
                <w:bCs/>
                <w:sz w:val="22"/>
                <w:lang w:eastAsia="en-GB"/>
                <w14:ligatures w14:val="none"/>
                <w14:cntxtAlts w14:val="0"/>
              </w:rPr>
              <w:t xml:space="preserve"> Primary</w:t>
            </w:r>
          </w:p>
        </w:tc>
        <w:tc>
          <w:tcPr>
            <w:tcW w:w="2999"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National</w:t>
            </w:r>
          </w:p>
        </w:tc>
      </w:tr>
      <w:tr w:rsidR="00D52249" w:rsidRPr="00D52249" w:rsidTr="00C16EA7">
        <w:tc>
          <w:tcPr>
            <w:tcW w:w="3010"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both"/>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Year 1 Phonics</w:t>
            </w:r>
          </w:p>
        </w:tc>
        <w:tc>
          <w:tcPr>
            <w:tcW w:w="299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90%</w:t>
            </w:r>
          </w:p>
        </w:tc>
        <w:tc>
          <w:tcPr>
            <w:tcW w:w="2999"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81% </w:t>
            </w:r>
          </w:p>
        </w:tc>
      </w:tr>
    </w:tbl>
    <w:p w:rsidR="00D52249" w:rsidRPr="00D52249" w:rsidRDefault="00D52249"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1C68B1">
        <w:rPr>
          <w:rFonts w:eastAsia="Times New Roman" w:cs="Arial"/>
          <w:b/>
          <w:sz w:val="22"/>
          <w:lang w:val="en" w:eastAsia="en-GB"/>
          <w14:ligatures w14:val="none"/>
          <w14:cntxtAlts w14:val="0"/>
        </w:rPr>
        <w:t>Key Stage One</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At the end of KS1 (Y</w:t>
      </w:r>
      <w:r>
        <w:rPr>
          <w:rFonts w:eastAsia="Times New Roman" w:cs="Arial"/>
          <w:sz w:val="22"/>
          <w:lang w:val="en" w:eastAsia="en-GB"/>
          <w14:ligatures w14:val="none"/>
          <w14:cntxtAlts w14:val="0"/>
        </w:rPr>
        <w:t>ea</w:t>
      </w:r>
      <w:r w:rsidRPr="00D52249">
        <w:rPr>
          <w:rFonts w:eastAsia="Times New Roman" w:cs="Arial"/>
          <w:sz w:val="22"/>
          <w:lang w:val="en" w:eastAsia="en-GB"/>
          <w14:ligatures w14:val="none"/>
          <w14:cntxtAlts w14:val="0"/>
        </w:rPr>
        <w:t>r</w:t>
      </w:r>
      <w:r>
        <w:rPr>
          <w:rFonts w:eastAsia="Times New Roman" w:cs="Arial"/>
          <w:sz w:val="22"/>
          <w:lang w:val="en" w:eastAsia="en-GB"/>
          <w14:ligatures w14:val="none"/>
          <w14:cntxtAlts w14:val="0"/>
        </w:rPr>
        <w:t xml:space="preserve"> </w:t>
      </w:r>
      <w:r w:rsidRPr="00D52249">
        <w:rPr>
          <w:rFonts w:eastAsia="Times New Roman" w:cs="Arial"/>
          <w:sz w:val="22"/>
          <w:lang w:val="en" w:eastAsia="en-GB"/>
          <w14:ligatures w14:val="none"/>
          <w14:cntxtAlts w14:val="0"/>
        </w:rPr>
        <w:t>2), teachers are required to assess each child in the areas of reading, writing, math</w:t>
      </w:r>
      <w:r>
        <w:rPr>
          <w:rFonts w:eastAsia="Times New Roman" w:cs="Arial"/>
          <w:sz w:val="22"/>
          <w:lang w:val="en" w:eastAsia="en-GB"/>
          <w14:ligatures w14:val="none"/>
          <w14:cntxtAlts w14:val="0"/>
        </w:rPr>
        <w:t>ematic</w:t>
      </w:r>
      <w:r w:rsidRPr="00D52249">
        <w:rPr>
          <w:rFonts w:eastAsia="Times New Roman" w:cs="Arial"/>
          <w:sz w:val="22"/>
          <w:lang w:val="en" w:eastAsia="en-GB"/>
          <w14:ligatures w14:val="none"/>
          <w14:cntxtAlts w14:val="0"/>
        </w:rPr>
        <w:t>s and science.  National Curriculum assessment tests are used to support teachers’ judgements.</w:t>
      </w:r>
    </w:p>
    <w:p w:rsid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b/>
          <w:bCs/>
          <w:sz w:val="22"/>
          <w:lang w:val="en" w:eastAsia="en-GB"/>
          <w14:ligatures w14:val="none"/>
          <w14:cntxtAlts w14:val="0"/>
        </w:rPr>
        <w:t>Expected Standard</w:t>
      </w:r>
      <w:r>
        <w:rPr>
          <w:rFonts w:eastAsia="Times New Roman" w:cs="Arial"/>
          <w:b/>
          <w:bCs/>
          <w:sz w:val="22"/>
          <w:lang w:val="en" w:eastAsia="en-GB"/>
          <w14:ligatures w14:val="none"/>
          <w14:cntxtAlts w14:val="0"/>
        </w:rPr>
        <w:t xml:space="preserve"> (EXS)</w:t>
      </w:r>
      <w:r w:rsidRPr="00D52249">
        <w:rPr>
          <w:rFonts w:eastAsia="Times New Roman" w:cs="Arial"/>
          <w:sz w:val="22"/>
          <w:lang w:val="en" w:eastAsia="en-GB"/>
          <w14:ligatures w14:val="none"/>
          <w14:cntxtAlts w14:val="0"/>
        </w:rPr>
        <w:t xml:space="preserve"> – Working at the expected standard </w:t>
      </w:r>
      <w:r>
        <w:rPr>
          <w:rFonts w:eastAsia="Times New Roman" w:cs="Arial"/>
          <w:sz w:val="22"/>
          <w:lang w:val="en" w:eastAsia="en-GB"/>
          <w14:ligatures w14:val="none"/>
          <w14:cntxtAlts w14:val="0"/>
        </w:rPr>
        <w:t>for a child at the end of Year Two</w:t>
      </w:r>
      <w:r w:rsidRPr="00D52249">
        <w:rPr>
          <w:rFonts w:eastAsia="Times New Roman" w:cs="Arial"/>
          <w:sz w:val="22"/>
          <w:lang w:val="en" w:eastAsia="en-GB"/>
          <w14:ligatures w14:val="none"/>
          <w14:cntxtAlts w14:val="0"/>
        </w:rPr>
        <w:t>.</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b/>
          <w:bCs/>
          <w:sz w:val="22"/>
          <w:lang w:val="en" w:eastAsia="en-GB"/>
          <w14:ligatures w14:val="none"/>
          <w14:cntxtAlts w14:val="0"/>
        </w:rPr>
        <w:t>Greater Depth</w:t>
      </w:r>
      <w:r>
        <w:rPr>
          <w:rFonts w:eastAsia="Times New Roman" w:cs="Arial"/>
          <w:b/>
          <w:bCs/>
          <w:sz w:val="22"/>
          <w:lang w:val="en" w:eastAsia="en-GB"/>
          <w14:ligatures w14:val="none"/>
          <w14:cntxtAlts w14:val="0"/>
        </w:rPr>
        <w:t xml:space="preserve"> (GDS)</w:t>
      </w:r>
      <w:r w:rsidRPr="00D52249">
        <w:rPr>
          <w:rFonts w:eastAsia="Times New Roman" w:cs="Arial"/>
          <w:sz w:val="22"/>
          <w:lang w:val="en" w:eastAsia="en-GB"/>
          <w14:ligatures w14:val="none"/>
          <w14:cntxtAlts w14:val="0"/>
        </w:rPr>
        <w:t> – Working at greater depth within the expected standard, with a strong understanding of the curriculum.</w:t>
      </w:r>
    </w:p>
    <w:tbl>
      <w:tblPr>
        <w:tblW w:w="9360" w:type="dxa"/>
        <w:tblCellMar>
          <w:top w:w="15" w:type="dxa"/>
          <w:left w:w="15" w:type="dxa"/>
          <w:bottom w:w="15" w:type="dxa"/>
          <w:right w:w="15" w:type="dxa"/>
        </w:tblCellMar>
        <w:tblLook w:val="04A0" w:firstRow="1" w:lastRow="0" w:firstColumn="1" w:lastColumn="0" w:noHBand="0" w:noVBand="1"/>
      </w:tblPr>
      <w:tblGrid>
        <w:gridCol w:w="3010"/>
        <w:gridCol w:w="3456"/>
        <w:gridCol w:w="2894"/>
      </w:tblGrid>
      <w:tr w:rsidR="00D52249" w:rsidRPr="00D52249" w:rsidTr="00BE04A0">
        <w:tc>
          <w:tcPr>
            <w:tcW w:w="3010"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End of KS1 SATs Results</w:t>
            </w:r>
          </w:p>
        </w:tc>
        <w:tc>
          <w:tcPr>
            <w:tcW w:w="345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The Bellbird</w:t>
            </w:r>
            <w:r w:rsidRPr="00D52249">
              <w:rPr>
                <w:rFonts w:eastAsia="Times New Roman" w:cs="Arial"/>
                <w:b/>
                <w:bCs/>
                <w:sz w:val="22"/>
                <w:lang w:eastAsia="en-GB"/>
                <w14:ligatures w14:val="none"/>
                <w14:cntxtAlts w14:val="0"/>
              </w:rPr>
              <w:t xml:space="preserve"> Primary</w:t>
            </w:r>
          </w:p>
        </w:tc>
        <w:tc>
          <w:tcPr>
            <w:tcW w:w="2894"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National</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Reading – expected standard</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66%</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76%</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 Reading – greater depth</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BE04A0">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24%</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25%</w:t>
            </w:r>
          </w:p>
        </w:tc>
      </w:tr>
      <w:tr w:rsidR="00D52249" w:rsidRPr="00D52249" w:rsidTr="00BE04A0">
        <w:tc>
          <w:tcPr>
            <w:tcW w:w="9360" w:type="dxa"/>
            <w:gridSpan w:val="3"/>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 </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Writing – expected standard</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63%</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68%</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 Writing – greater depth</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22%</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16%</w:t>
            </w:r>
          </w:p>
        </w:tc>
      </w:tr>
      <w:tr w:rsidR="00D52249" w:rsidRPr="00D52249" w:rsidTr="00BE04A0">
        <w:tc>
          <w:tcPr>
            <w:tcW w:w="9360" w:type="dxa"/>
            <w:gridSpan w:val="3"/>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 </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Maths – expected standard</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71%</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75%</w:t>
            </w:r>
          </w:p>
        </w:tc>
      </w:tr>
      <w:tr w:rsidR="00D52249" w:rsidRPr="00D52249" w:rsidTr="00BE04A0">
        <w:tc>
          <w:tcPr>
            <w:tcW w:w="3010"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Maths – greater depth</w:t>
            </w:r>
          </w:p>
        </w:tc>
        <w:tc>
          <w:tcPr>
            <w:tcW w:w="345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27%</w:t>
            </w:r>
          </w:p>
        </w:tc>
        <w:tc>
          <w:tcPr>
            <w:tcW w:w="2894"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D52249" w:rsidRPr="00D52249" w:rsidRDefault="00D52249"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21%</w:t>
            </w:r>
          </w:p>
        </w:tc>
      </w:tr>
    </w:tbl>
    <w:p w:rsidR="008B3286" w:rsidRDefault="008B3286"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p>
    <w:p w:rsidR="008B3286" w:rsidRDefault="008B3286"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p>
    <w:p w:rsidR="00D52249" w:rsidRDefault="00D52249"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1C68B1">
        <w:rPr>
          <w:rFonts w:eastAsia="Times New Roman" w:cs="Arial"/>
          <w:b/>
          <w:sz w:val="22"/>
          <w:lang w:val="en" w:eastAsia="en-GB"/>
          <w14:ligatures w14:val="none"/>
          <w14:cntxtAlts w14:val="0"/>
        </w:rPr>
        <w:lastRenderedPageBreak/>
        <w:t>Key Stage Two</w:t>
      </w:r>
    </w:p>
    <w:p w:rsidR="00CC2E85" w:rsidRPr="00CC2E85" w:rsidRDefault="00CC2E85"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CC2E85">
        <w:rPr>
          <w:rFonts w:eastAsia="Times New Roman" w:cs="Arial"/>
          <w:sz w:val="22"/>
          <w:lang w:val="en" w:eastAsia="en-GB"/>
          <w14:ligatures w14:val="none"/>
          <w14:cntxtAlts w14:val="0"/>
        </w:rPr>
        <w:t>At the end of key stage 2 (Year 6), teachers are required to assess the children in reading, writing, mathematics and science.</w:t>
      </w:r>
    </w:p>
    <w:p w:rsidR="00D52249" w:rsidRPr="00D52249" w:rsidRDefault="00CC2E85" w:rsidP="00CC2E85">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CC2E85">
        <w:rPr>
          <w:rFonts w:eastAsia="Times New Roman" w:cs="Arial"/>
          <w:sz w:val="22"/>
          <w:lang w:val="en" w:eastAsia="en-GB"/>
          <w14:ligatures w14:val="none"/>
          <w14:cntxtAlts w14:val="0"/>
        </w:rPr>
        <w:t xml:space="preserve">The children are tested in reading, grammar, punctuation and spelling and mathematics. </w:t>
      </w:r>
      <w:r>
        <w:rPr>
          <w:rFonts w:eastAsia="Times New Roman" w:cs="Arial"/>
          <w:sz w:val="22"/>
          <w:lang w:val="en" w:eastAsia="en-GB"/>
          <w14:ligatures w14:val="none"/>
          <w14:cntxtAlts w14:val="0"/>
        </w:rPr>
        <w:t>In writing the teacher assesses whether the pupil i</w:t>
      </w:r>
      <w:r w:rsidR="00D52249" w:rsidRPr="00CC2E85">
        <w:rPr>
          <w:rFonts w:eastAsia="Times New Roman" w:cs="Arial"/>
          <w:sz w:val="22"/>
          <w:lang w:val="en" w:eastAsia="en-GB"/>
          <w14:ligatures w14:val="none"/>
          <w14:cntxtAlts w14:val="0"/>
        </w:rPr>
        <w:t>s working ‘at the expected standard’ or better.</w:t>
      </w:r>
      <w:r w:rsidR="008B3286">
        <w:rPr>
          <w:rFonts w:eastAsia="Times New Roman" w:cs="Arial"/>
          <w:sz w:val="22"/>
          <w:lang w:val="en" w:eastAsia="en-GB"/>
          <w14:ligatures w14:val="none"/>
          <w14:cntxtAlts w14:val="0"/>
        </w:rPr>
        <w:t xml:space="preserve"> </w:t>
      </w:r>
      <w:r>
        <w:rPr>
          <w:rFonts w:eastAsia="Times New Roman" w:cs="Arial"/>
          <w:sz w:val="22"/>
          <w:lang w:val="en" w:eastAsia="en-GB"/>
          <w14:ligatures w14:val="none"/>
          <w14:cntxtAlts w14:val="0"/>
        </w:rPr>
        <w:t>T</w:t>
      </w:r>
      <w:r w:rsidRPr="00D52249">
        <w:rPr>
          <w:rFonts w:eastAsia="Times New Roman" w:cs="Arial"/>
          <w:sz w:val="22"/>
          <w:lang w:val="en" w:eastAsia="en-GB"/>
          <w14:ligatures w14:val="none"/>
          <w14:cntxtAlts w14:val="0"/>
        </w:rPr>
        <w:t xml:space="preserve">est results </w:t>
      </w:r>
      <w:r>
        <w:rPr>
          <w:rFonts w:eastAsia="Times New Roman" w:cs="Arial"/>
          <w:sz w:val="22"/>
          <w:lang w:val="en" w:eastAsia="en-GB"/>
          <w14:ligatures w14:val="none"/>
          <w14:cntxtAlts w14:val="0"/>
        </w:rPr>
        <w:t>are</w:t>
      </w:r>
      <w:r w:rsidRPr="00D52249">
        <w:rPr>
          <w:rFonts w:eastAsia="Times New Roman" w:cs="Arial"/>
          <w:sz w:val="22"/>
          <w:lang w:val="en" w:eastAsia="en-GB"/>
          <w14:ligatures w14:val="none"/>
          <w14:cntxtAlts w14:val="0"/>
        </w:rPr>
        <w:t xml:space="preserve"> converted to a ‘sc</w:t>
      </w:r>
      <w:r>
        <w:rPr>
          <w:rFonts w:eastAsia="Times New Roman" w:cs="Arial"/>
          <w:sz w:val="22"/>
          <w:lang w:val="en" w:eastAsia="en-GB"/>
          <w14:ligatures w14:val="none"/>
          <w14:cntxtAlts w14:val="0"/>
        </w:rPr>
        <w:t>aled score’ where 100 or more is at ‘expected standard’ and</w:t>
      </w:r>
      <w:r w:rsidR="00D52249" w:rsidRPr="00D52249">
        <w:rPr>
          <w:rFonts w:eastAsia="Times New Roman" w:cs="Arial"/>
          <w:sz w:val="22"/>
          <w:lang w:val="en" w:eastAsia="en-GB"/>
          <w14:ligatures w14:val="none"/>
          <w14:cntxtAlts w14:val="0"/>
        </w:rPr>
        <w:t xml:space="preserve"> 110 or above is ‘working at greater depth’. </w:t>
      </w:r>
    </w:p>
    <w:tbl>
      <w:tblPr>
        <w:tblW w:w="9498" w:type="dxa"/>
        <w:tblInd w:w="-152" w:type="dxa"/>
        <w:tblCellMar>
          <w:top w:w="15" w:type="dxa"/>
          <w:left w:w="15" w:type="dxa"/>
          <w:bottom w:w="15" w:type="dxa"/>
          <w:right w:w="15" w:type="dxa"/>
        </w:tblCellMar>
        <w:tblLook w:val="04A0" w:firstRow="1" w:lastRow="0" w:firstColumn="1" w:lastColumn="0" w:noHBand="0" w:noVBand="1"/>
      </w:tblPr>
      <w:tblGrid>
        <w:gridCol w:w="3166"/>
        <w:gridCol w:w="3166"/>
        <w:gridCol w:w="3166"/>
      </w:tblGrid>
      <w:tr w:rsidR="00BE04A0" w:rsidRPr="00D52249" w:rsidTr="00BE04A0">
        <w:tc>
          <w:tcPr>
            <w:tcW w:w="3166"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KS2 SATs results 2016</w:t>
            </w:r>
          </w:p>
        </w:tc>
        <w:tc>
          <w:tcPr>
            <w:tcW w:w="316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 xml:space="preserve">The Bellbird </w:t>
            </w:r>
            <w:r w:rsidRPr="00D52249">
              <w:rPr>
                <w:rFonts w:eastAsia="Times New Roman" w:cs="Arial"/>
                <w:b/>
                <w:bCs/>
                <w:sz w:val="22"/>
                <w:lang w:eastAsia="en-GB"/>
                <w14:ligatures w14:val="none"/>
                <w14:cntxtAlts w14:val="0"/>
              </w:rPr>
              <w:t>Primary</w:t>
            </w:r>
          </w:p>
        </w:tc>
        <w:tc>
          <w:tcPr>
            <w:tcW w:w="3166"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National</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Reading, Writing &amp; Maths combined – Expected Standard</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64%</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61%</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Reading, Writing &amp; Maths combined – Greater Depth</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7%</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5%</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Reading – Expected Standard</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80%</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71%</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1C68B1">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xml:space="preserve">Reading – </w:t>
            </w:r>
            <w:r>
              <w:rPr>
                <w:rFonts w:eastAsia="Times New Roman" w:cs="Arial"/>
                <w:sz w:val="22"/>
                <w:lang w:eastAsia="en-GB"/>
                <w14:ligatures w14:val="none"/>
                <w14:cntxtAlts w14:val="0"/>
              </w:rPr>
              <w:t>Greater Depth</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34%</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19%</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Writing - Expected Standard</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73%</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76%</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Writing – Greater Depth</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7%</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Maths - Expected Standard</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84%</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75%</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1C68B1">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xml:space="preserve">Maths – </w:t>
            </w:r>
            <w:r>
              <w:rPr>
                <w:rFonts w:eastAsia="Times New Roman" w:cs="Arial"/>
                <w:sz w:val="22"/>
                <w:lang w:eastAsia="en-GB"/>
                <w14:ligatures w14:val="none"/>
                <w14:cntxtAlts w14:val="0"/>
              </w:rPr>
              <w:t>Greater Depth</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34%</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16%</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Grammar, Punctuation &amp; Spelling - Expected Standard</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93%</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77%</w:t>
            </w:r>
          </w:p>
        </w:tc>
      </w:tr>
      <w:tr w:rsidR="00BE04A0" w:rsidRPr="00D52249" w:rsidTr="00BE04A0">
        <w:tc>
          <w:tcPr>
            <w:tcW w:w="3166"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1C68B1">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xml:space="preserve">Grammar, Punctuation &amp; Spelling – </w:t>
            </w:r>
            <w:r>
              <w:rPr>
                <w:rFonts w:eastAsia="Times New Roman" w:cs="Arial"/>
                <w:sz w:val="22"/>
                <w:lang w:eastAsia="en-GB"/>
                <w14:ligatures w14:val="none"/>
                <w14:cntxtAlts w14:val="0"/>
              </w:rPr>
              <w:t>Greater Depth</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61%</w:t>
            </w:r>
          </w:p>
        </w:tc>
        <w:tc>
          <w:tcPr>
            <w:tcW w:w="3166"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23%</w:t>
            </w:r>
          </w:p>
        </w:tc>
      </w:tr>
    </w:tbl>
    <w:p w:rsidR="00D52249" w:rsidRPr="00D52249" w:rsidRDefault="00D52249" w:rsidP="00D52249">
      <w:pPr>
        <w:spacing w:before="100" w:beforeAutospacing="1" w:after="100" w:afterAutospacing="1" w:line="240" w:lineRule="auto"/>
        <w:jc w:val="both"/>
        <w:textAlignment w:val="top"/>
        <w:rPr>
          <w:rFonts w:eastAsia="Times New Roman" w:cs="Arial"/>
          <w:b/>
          <w:sz w:val="22"/>
          <w:lang w:val="en" w:eastAsia="en-GB"/>
          <w14:ligatures w14:val="none"/>
          <w14:cntxtAlts w14:val="0"/>
        </w:rPr>
      </w:pPr>
      <w:r w:rsidRPr="001C68B1">
        <w:rPr>
          <w:rFonts w:eastAsia="Times New Roman" w:cs="Arial"/>
          <w:b/>
          <w:sz w:val="22"/>
          <w:lang w:val="en" w:eastAsia="en-GB"/>
          <w14:ligatures w14:val="none"/>
          <w14:cntxtAlts w14:val="0"/>
        </w:rPr>
        <w:t>Key Stage Two Progress</w:t>
      </w:r>
    </w:p>
    <w:p w:rsidR="00D52249" w:rsidRPr="00D52249" w:rsidRDefault="00D52249" w:rsidP="00D52249">
      <w:pPr>
        <w:spacing w:before="100" w:beforeAutospacing="1" w:after="100" w:afterAutospacing="1" w:line="240" w:lineRule="auto"/>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Progress scores are calculated by comparing the key stage 2 test and assessment results of pupils at this school with the results of pupils in schools across England who started with similar assessment results at the end of the previous key stage – key stage 1.</w:t>
      </w:r>
    </w:p>
    <w:p w:rsidR="00D52249" w:rsidRPr="00D52249" w:rsidRDefault="00D52249" w:rsidP="00D52249">
      <w:pPr>
        <w:numPr>
          <w:ilvl w:val="0"/>
          <w:numId w:val="1"/>
        </w:numPr>
        <w:spacing w:before="100" w:beforeAutospacing="1" w:after="100" w:afterAutospacing="1" w:line="240" w:lineRule="auto"/>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A score above zero means pupils made more progress, on average, than pupils across England who got similar results at the end of key stage 1.</w:t>
      </w:r>
    </w:p>
    <w:p w:rsidR="00D52249" w:rsidRDefault="00D52249" w:rsidP="00D52249">
      <w:pPr>
        <w:numPr>
          <w:ilvl w:val="0"/>
          <w:numId w:val="1"/>
        </w:numPr>
        <w:spacing w:before="100" w:beforeAutospacing="1" w:after="100" w:afterAutospacing="1" w:line="240" w:lineRule="auto"/>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A score below zero means pupils made less progress, on average, than pupils across England who got similar results at the end of key stage 1.</w:t>
      </w:r>
    </w:p>
    <w:p w:rsidR="00CC2E85" w:rsidRPr="008B3286" w:rsidRDefault="00CC2E85" w:rsidP="008B3286">
      <w:pPr>
        <w:numPr>
          <w:ilvl w:val="0"/>
          <w:numId w:val="1"/>
        </w:numPr>
        <w:spacing w:before="100" w:beforeAutospacing="1" w:after="100" w:afterAutospacing="1" w:line="240" w:lineRule="auto"/>
        <w:rPr>
          <w:rFonts w:eastAsia="Times New Roman" w:cs="Arial"/>
          <w:sz w:val="22"/>
          <w:lang w:val="en" w:eastAsia="en-GB"/>
          <w14:ligatures w14:val="none"/>
          <w14:cntxtAlts w14:val="0"/>
        </w:rPr>
      </w:pPr>
      <w:r>
        <w:rPr>
          <w:rFonts w:eastAsia="Times New Roman" w:cs="Arial"/>
          <w:sz w:val="22"/>
          <w:lang w:val="en" w:eastAsia="en-GB"/>
          <w14:ligatures w14:val="none"/>
          <w14:cntxtAlts w14:val="0"/>
        </w:rPr>
        <w:t>A score of zero means pupils made similar progress, on average, to those pupils across England who got similar results at the end of key stage 1.</w:t>
      </w:r>
    </w:p>
    <w:p w:rsidR="00D52249" w:rsidRPr="004D0336" w:rsidRDefault="00D52249" w:rsidP="00CC2E85">
      <w:pPr>
        <w:spacing w:before="100" w:beforeAutospacing="1" w:after="100" w:afterAutospacing="1" w:line="240" w:lineRule="auto"/>
        <w:rPr>
          <w:rFonts w:eastAsia="Times New Roman" w:cs="Arial"/>
          <w:sz w:val="22"/>
          <w:lang w:val="en" w:eastAsia="en-GB"/>
          <w14:ligatures w14:val="none"/>
          <w14:cntxtAlts w14:val="0"/>
        </w:rPr>
      </w:pPr>
      <w:r w:rsidRPr="004D0336">
        <w:rPr>
          <w:rFonts w:eastAsia="Times New Roman" w:cs="Arial"/>
          <w:sz w:val="22"/>
          <w:lang w:val="en" w:eastAsia="en-GB"/>
          <w14:ligatures w14:val="none"/>
          <w14:cntxtAlts w14:val="0"/>
        </w:rPr>
        <w:t>A negative progress score does not mean pupils made no progress, rather it means pupils in the school made less progress than other pupils across England with similar results at the end of key stage 1.</w:t>
      </w:r>
    </w:p>
    <w:p w:rsidR="00D52249" w:rsidRPr="00D52249" w:rsidRDefault="00D52249" w:rsidP="00D52249">
      <w:pPr>
        <w:spacing w:before="100" w:beforeAutospacing="1" w:after="100" w:afterAutospacing="1" w:line="240" w:lineRule="auto"/>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The majority of schools have progress scores between -5 and +5.</w:t>
      </w:r>
    </w:p>
    <w:p w:rsidR="00D52249" w:rsidRPr="00D52249" w:rsidRDefault="00D52249" w:rsidP="00D52249">
      <w:pPr>
        <w:spacing w:before="100" w:beforeAutospacing="1" w:after="100" w:afterAutospacing="1" w:line="240" w:lineRule="auto"/>
        <w:jc w:val="both"/>
        <w:textAlignment w:val="top"/>
        <w:rPr>
          <w:rFonts w:eastAsia="Times New Roman" w:cs="Arial"/>
          <w:sz w:val="22"/>
          <w:lang w:val="en" w:eastAsia="en-GB"/>
          <w14:ligatures w14:val="none"/>
          <w14:cntxtAlts w14:val="0"/>
        </w:rPr>
      </w:pPr>
      <w:r w:rsidRPr="00D52249">
        <w:rPr>
          <w:rFonts w:eastAsia="Times New Roman" w:cs="Arial"/>
          <w:sz w:val="22"/>
          <w:lang w:val="en" w:eastAsia="en-GB"/>
          <w14:ligatures w14:val="none"/>
          <w14:cntxtAlts w14:val="0"/>
        </w:rPr>
        <w:t>Our progress scores are shown below.</w:t>
      </w:r>
    </w:p>
    <w:tbl>
      <w:tblPr>
        <w:tblW w:w="9488" w:type="dxa"/>
        <w:tblCellMar>
          <w:top w:w="15" w:type="dxa"/>
          <w:left w:w="15" w:type="dxa"/>
          <w:bottom w:w="15" w:type="dxa"/>
          <w:right w:w="15" w:type="dxa"/>
        </w:tblCellMar>
        <w:tblLook w:val="04A0" w:firstRow="1" w:lastRow="0" w:firstColumn="1" w:lastColumn="0" w:noHBand="0" w:noVBand="1"/>
      </w:tblPr>
      <w:tblGrid>
        <w:gridCol w:w="3115"/>
        <w:gridCol w:w="6373"/>
      </w:tblGrid>
      <w:tr w:rsidR="00BE04A0" w:rsidRPr="00D52249" w:rsidTr="00BE04A0">
        <w:tc>
          <w:tcPr>
            <w:tcW w:w="3115" w:type="dxa"/>
            <w:tcBorders>
              <w:top w:val="single" w:sz="8" w:space="0" w:color="auto"/>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both"/>
              <w:textAlignment w:val="top"/>
              <w:rPr>
                <w:rFonts w:eastAsia="Times New Roman" w:cs="Arial"/>
                <w:sz w:val="22"/>
                <w:lang w:eastAsia="en-GB"/>
                <w14:ligatures w14:val="none"/>
                <w14:cntxtAlts w14:val="0"/>
              </w:rPr>
            </w:pPr>
            <w:r w:rsidRPr="00D52249">
              <w:rPr>
                <w:rFonts w:eastAsia="Times New Roman" w:cs="Arial"/>
                <w:sz w:val="22"/>
                <w:lang w:eastAsia="en-GB"/>
                <w14:ligatures w14:val="none"/>
                <w14:cntxtAlts w14:val="0"/>
              </w:rPr>
              <w:t> </w:t>
            </w:r>
          </w:p>
        </w:tc>
        <w:tc>
          <w:tcPr>
            <w:tcW w:w="6373" w:type="dxa"/>
            <w:tcBorders>
              <w:top w:val="single" w:sz="8" w:space="0" w:color="auto"/>
              <w:left w:val="nil"/>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b/>
                <w:bCs/>
                <w:sz w:val="22"/>
                <w:lang w:eastAsia="en-GB"/>
                <w14:ligatures w14:val="none"/>
                <w14:cntxtAlts w14:val="0"/>
              </w:rPr>
              <w:t xml:space="preserve">The Bellbird </w:t>
            </w:r>
            <w:r w:rsidRPr="00D52249">
              <w:rPr>
                <w:rFonts w:eastAsia="Times New Roman" w:cs="Arial"/>
                <w:b/>
                <w:bCs/>
                <w:sz w:val="22"/>
                <w:lang w:eastAsia="en-GB"/>
                <w14:ligatures w14:val="none"/>
                <w14:cntxtAlts w14:val="0"/>
              </w:rPr>
              <w:t>Primary</w:t>
            </w:r>
          </w:p>
        </w:tc>
      </w:tr>
      <w:tr w:rsidR="00BE04A0" w:rsidRPr="00D52249" w:rsidTr="00BE04A0">
        <w:tc>
          <w:tcPr>
            <w:tcW w:w="3115"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Reading progress score:</w:t>
            </w:r>
          </w:p>
        </w:tc>
        <w:tc>
          <w:tcPr>
            <w:tcW w:w="6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4D0336"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w:t>
            </w:r>
            <w:r w:rsidR="001F62D4">
              <w:rPr>
                <w:rFonts w:eastAsia="Times New Roman" w:cs="Arial"/>
                <w:sz w:val="22"/>
                <w:lang w:eastAsia="en-GB"/>
                <w14:ligatures w14:val="none"/>
                <w14:cntxtAlts w14:val="0"/>
              </w:rPr>
              <w:t>0.39</w:t>
            </w:r>
          </w:p>
        </w:tc>
      </w:tr>
      <w:tr w:rsidR="00BE04A0" w:rsidRPr="00D52249" w:rsidTr="00BE04A0">
        <w:tc>
          <w:tcPr>
            <w:tcW w:w="3115"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Writing progress score:</w:t>
            </w:r>
          </w:p>
        </w:tc>
        <w:tc>
          <w:tcPr>
            <w:tcW w:w="6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1F62D4"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-3.80</w:t>
            </w:r>
          </w:p>
        </w:tc>
      </w:tr>
      <w:tr w:rsidR="00BE04A0" w:rsidRPr="00D52249" w:rsidTr="00BE04A0">
        <w:tc>
          <w:tcPr>
            <w:tcW w:w="3115" w:type="dxa"/>
            <w:tcBorders>
              <w:top w:val="nil"/>
              <w:left w:val="single" w:sz="8" w:space="0" w:color="auto"/>
              <w:bottom w:val="single" w:sz="8" w:space="0" w:color="auto"/>
              <w:right w:val="single" w:sz="8" w:space="0" w:color="auto"/>
            </w:tcBorders>
            <w:shd w:val="clear" w:color="auto" w:fill="BDD6EE" w:themeFill="accent1" w:themeFillTint="66"/>
            <w:tcMar>
              <w:top w:w="0" w:type="dxa"/>
              <w:left w:w="108" w:type="dxa"/>
              <w:bottom w:w="0" w:type="dxa"/>
              <w:right w:w="108" w:type="dxa"/>
            </w:tcMar>
            <w:vAlign w:val="center"/>
            <w:hideMark/>
          </w:tcPr>
          <w:p w:rsidR="00BE04A0" w:rsidRPr="00D52249" w:rsidRDefault="00BE04A0" w:rsidP="00D52249">
            <w:pPr>
              <w:spacing w:before="100" w:beforeAutospacing="1" w:after="100" w:afterAutospacing="1" w:line="240" w:lineRule="auto"/>
              <w:textAlignment w:val="top"/>
              <w:rPr>
                <w:rFonts w:eastAsia="Times New Roman" w:cs="Arial"/>
                <w:sz w:val="22"/>
                <w:lang w:eastAsia="en-GB"/>
                <w14:ligatures w14:val="none"/>
                <w14:cntxtAlts w14:val="0"/>
              </w:rPr>
            </w:pPr>
            <w:r w:rsidRPr="00D52249">
              <w:rPr>
                <w:rFonts w:eastAsia="Times New Roman" w:cs="Arial"/>
                <w:b/>
                <w:bCs/>
                <w:sz w:val="22"/>
                <w:lang w:eastAsia="en-GB"/>
                <w14:ligatures w14:val="none"/>
                <w14:cntxtAlts w14:val="0"/>
              </w:rPr>
              <w:t>Maths progress score:</w:t>
            </w:r>
          </w:p>
        </w:tc>
        <w:tc>
          <w:tcPr>
            <w:tcW w:w="63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center"/>
          </w:tcPr>
          <w:p w:rsidR="00BE04A0" w:rsidRPr="00D52249" w:rsidRDefault="004D0336" w:rsidP="00D52249">
            <w:pPr>
              <w:spacing w:before="100" w:beforeAutospacing="1" w:after="100" w:afterAutospacing="1" w:line="240" w:lineRule="auto"/>
              <w:jc w:val="center"/>
              <w:textAlignment w:val="top"/>
              <w:rPr>
                <w:rFonts w:eastAsia="Times New Roman" w:cs="Arial"/>
                <w:sz w:val="22"/>
                <w:lang w:eastAsia="en-GB"/>
                <w14:ligatures w14:val="none"/>
                <w14:cntxtAlts w14:val="0"/>
              </w:rPr>
            </w:pPr>
            <w:r>
              <w:rPr>
                <w:rFonts w:eastAsia="Times New Roman" w:cs="Arial"/>
                <w:sz w:val="22"/>
                <w:lang w:eastAsia="en-GB"/>
                <w14:ligatures w14:val="none"/>
                <w14:cntxtAlts w14:val="0"/>
              </w:rPr>
              <w:t>+1.94</w:t>
            </w:r>
          </w:p>
        </w:tc>
      </w:tr>
    </w:tbl>
    <w:p w:rsidR="005E6471" w:rsidRPr="00D52249" w:rsidRDefault="005E6471">
      <w:pPr>
        <w:rPr>
          <w:rFonts w:cs="Arial"/>
          <w:sz w:val="22"/>
        </w:rPr>
      </w:pPr>
      <w:bookmarkStart w:id="0" w:name="_GoBack"/>
      <w:bookmarkEnd w:id="0"/>
    </w:p>
    <w:sectPr w:rsidR="005E6471" w:rsidRPr="00D5224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97533D9"/>
    <w:multiLevelType w:val="multilevel"/>
    <w:tmpl w:val="AB14D3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2249"/>
    <w:rsid w:val="001C68B1"/>
    <w:rsid w:val="001F62D4"/>
    <w:rsid w:val="004D0336"/>
    <w:rsid w:val="005E6471"/>
    <w:rsid w:val="00723FAE"/>
    <w:rsid w:val="008B3286"/>
    <w:rsid w:val="00BE04A0"/>
    <w:rsid w:val="00C16EA7"/>
    <w:rsid w:val="00CC2E85"/>
    <w:rsid w:val="00D522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A1BB78-7501-49B0-B0D7-D9E52712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Cs w:val="22"/>
        <w:lang w:val="en-GB" w:eastAsia="en-US" w:bidi="ar-SA"/>
        <w14:ligatures w14:val="standard"/>
        <w14:cntxtAlts/>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3FA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FA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0615286">
      <w:bodyDiv w:val="1"/>
      <w:marLeft w:val="0"/>
      <w:marRight w:val="0"/>
      <w:marTop w:val="0"/>
      <w:marBottom w:val="0"/>
      <w:divBdr>
        <w:top w:val="none" w:sz="0" w:space="0" w:color="auto"/>
        <w:left w:val="none" w:sz="0" w:space="0" w:color="auto"/>
        <w:bottom w:val="none" w:sz="0" w:space="0" w:color="auto"/>
        <w:right w:val="none" w:sz="0" w:space="0" w:color="auto"/>
      </w:divBdr>
      <w:divsChild>
        <w:div w:id="1947031027">
          <w:marLeft w:val="0"/>
          <w:marRight w:val="0"/>
          <w:marTop w:val="0"/>
          <w:marBottom w:val="0"/>
          <w:divBdr>
            <w:top w:val="none" w:sz="0" w:space="0" w:color="auto"/>
            <w:left w:val="none" w:sz="0" w:space="0" w:color="auto"/>
            <w:bottom w:val="none" w:sz="0" w:space="0" w:color="auto"/>
            <w:right w:val="none" w:sz="0" w:space="0" w:color="auto"/>
          </w:divBdr>
          <w:divsChild>
            <w:div w:id="806820071">
              <w:marLeft w:val="0"/>
              <w:marRight w:val="0"/>
              <w:marTop w:val="0"/>
              <w:marBottom w:val="0"/>
              <w:divBdr>
                <w:top w:val="none" w:sz="0" w:space="0" w:color="auto"/>
                <w:left w:val="none" w:sz="0" w:space="0" w:color="auto"/>
                <w:bottom w:val="none" w:sz="0" w:space="0" w:color="auto"/>
                <w:right w:val="none" w:sz="0" w:space="0" w:color="auto"/>
              </w:divBdr>
              <w:divsChild>
                <w:div w:id="1053693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3</Pages>
  <Words>559</Words>
  <Characters>3187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Helen Darrell</dc:creator>
  <cp:keywords/>
  <dc:description/>
  <cp:lastModifiedBy>Helen Darrell</cp:lastModifiedBy>
  <cp:revision>7</cp:revision>
  <cp:lastPrinted>2018-04-23T08:41:00Z</cp:lastPrinted>
  <dcterms:created xsi:type="dcterms:W3CDTF">2018-03-27T13:40:00Z</dcterms:created>
  <dcterms:modified xsi:type="dcterms:W3CDTF">2018-04-23T09:25:00Z</dcterms:modified>
</cp:coreProperties>
</file>